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 w:line="254" w:lineRule="auto"/>
      </w:pPr>
      <w:r>
        <w:rPr>
          <w:rFonts w:ascii="Georgia" w:hAnsi="Georgia" w:eastAsia="Georgia"/>
          <w:b/>
          <w:i w:val="0"/>
          <w:color w:val="12455C"/>
          <w:sz w:val="30"/>
          <w:u w:val="none"/>
          <w:spacing w:val="4"/>
        </w:rPr>
        <w:t>Research Statement</w:t>
      </w:r>
    </w:p>
    <w:p>
      <w:pPr>
        <w:spacing w:before="0" w:after="0" w:line="254" w:lineRule="auto"/>
      </w:pPr>
      <w:r>
        <w:rPr>
          <w:rFonts w:ascii="Calibri" w:hAnsi="Calibri" w:eastAsia="Calibri"/>
          <w:b/>
          <w:i w:val="0"/>
          <w:color w:val="1A1A1A"/>
          <w:sz w:val="18"/>
          <w:u w:val="none"/>
        </w:rPr>
        <w:t>Dr. Dipika Ramdas Kalambhe, Ph.D.</w:t>
      </w:r>
      <w:r>
        <w:rPr>
          <w:rFonts w:ascii="Calibri" w:hAnsi="Calibri" w:eastAsia="Calibri"/>
          <w:b w:val="0"/>
          <w:i w:val="0"/>
          <w:color w:val="5A5A5A"/>
          <w:sz w:val="16"/>
          <w:u w:val="none"/>
        </w:rPr>
        <w:t xml:space="preserve">   ·   Prof. María José Alonso — nano-oncology and macrophage-targeted delivery</w:t>
      </w:r>
    </w:p>
    <w:p>
      <w:pPr>
        <w:spacing w:before="0" w:after="0" w:line="254" w:lineRule="auto"/>
        <w:pBdr>
          <w:bottom w:val="single" w:sz="6" w:space="6" w:color="C3CFD5"/>
        </w:pBdr>
      </w:pPr>
      <w:r>
        <w:rPr>
          <w:rFonts w:ascii="Calibri" w:hAnsi="Calibri" w:eastAsia="Calibri"/>
          <w:b w:val="0"/>
          <w:i w:val="0"/>
          <w:color w:val="5A5A5A"/>
          <w:sz w:val="16"/>
          <w:u w:val="none"/>
        </w:rPr>
        <w:t>CiMUS Research Institute · Universidade de Santiago de Compostela</w:t>
      </w:r>
      <w:r>
        <w:rPr>
          <w:rFonts w:ascii="Calibri" w:hAnsi="Calibri" w:eastAsia="Calibri"/>
          <w:b w:val="0"/>
          <w:i w:val="0"/>
          <w:color w:val="5A5A5A"/>
          <w:sz w:val="16"/>
          <w:u w:val="none"/>
        </w:rPr>
        <w:t xml:space="preserve">   ·   </w:t>
      </w:r>
      <w:hyperlink r:id="rId9">
        <w:r>
          <w:rPr>
            <w:rFonts w:ascii="Calibri" w:hAnsi="Calibri" w:eastAsia="Calibri"/>
            <w:color w:val="12455C"/>
            <w:sz w:val="16"/>
          </w:rPr>
          <w:t xml:space="preserve">dipika.pristellar.com</w:t>
        </w:r>
      </w:hyperlink>
    </w:p>
    <w:p>
      <w:pPr>
        <w:keepNext/>
        <w:spacing w:before="0" w:after="52" w:line="254" w:lineRule="auto"/>
        <w:pBdr>
          <w:bottom w:val="single" w:sz="4" w:space="2" w:color="C3CFD5"/>
        </w:pBdr>
      </w:pPr>
      <w:r>
        <w:rPr>
          <w:rFonts w:ascii="Georgia" w:hAnsi="Georgia" w:eastAsia="Georgia"/>
          <w:b/>
          <w:i w:val="0"/>
          <w:color w:val="12455C"/>
          <w:sz w:val="19"/>
          <w:u w:val="none"/>
          <w:spacing w:val="12"/>
        </w:rPr>
        <w:t>WHERE MY WORK MEETS THIS LABORATORY</w:t>
      </w:r>
    </w:p>
    <w:p>
      <w:pPr>
        <w:spacing w:before="0" w:after="84" w:line="262" w:lineRule="auto"/>
        <w:jc w:val="both"/>
      </w:pP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Your oncology programme targets three compartments — tumour cells, tumour-associated macrophages and the lymphatics. My doctoral work addressed the first and my contributing work addressed the second. The thread joining them, and the reason I am writing, is that </w:t>
      </w:r>
      <w:r>
        <w:rPr>
          <w:rFonts w:ascii="Calibri" w:hAnsi="Calibri" w:eastAsia="Calibri"/>
          <w:b/>
          <w:i w:val="0"/>
          <w:color w:val="1A1A1A"/>
          <w:sz w:val="17"/>
          <w:u w:val="none"/>
        </w:rPr>
        <w:t>the tumour's escape routes are multiple and a carrier is the instrument for closing more than one at a time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>.</w:t>
      </w:r>
    </w:p>
    <w:p>
      <w:pPr>
        <w:keepNext/>
        <w:spacing w:before="150" w:after="52" w:line="254" w:lineRule="auto"/>
        <w:pBdr>
          <w:bottom w:val="single" w:sz="4" w:space="2" w:color="C3CFD5"/>
        </w:pBdr>
      </w:pPr>
      <w:r>
        <w:rPr>
          <w:rFonts w:ascii="Georgia" w:hAnsi="Georgia" w:eastAsia="Georgia"/>
          <w:b/>
          <w:i w:val="0"/>
          <w:color w:val="12455C"/>
          <w:sz w:val="19"/>
          <w:u w:val="none"/>
          <w:spacing w:val="12"/>
        </w:rPr>
        <w:t>WHAT I ESTABLISHED</w:t>
      </w:r>
    </w:p>
    <w:p>
      <w:pPr>
        <w:spacing w:before="0" w:after="84" w:line="262" w:lineRule="auto"/>
        <w:jc w:val="both"/>
      </w:pP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I designed a </w:t>
      </w:r>
      <w:r>
        <w:rPr>
          <w:rFonts w:ascii="Calibri" w:hAnsi="Calibri" w:eastAsia="Calibri"/>
          <w:b/>
          <w:i w:val="0"/>
          <w:color w:val="1A1A1A"/>
          <w:sz w:val="17"/>
          <w:u w:val="none"/>
        </w:rPr>
        <w:t>mesoporous polydopamine-based Pickering emulsion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 carrying two agents with incompatible solubility and release requirements: shikonin, which inhibits PKM2 and suppresses tumour glycolysis, and JQ1, a BET bromodomain inhibitor. Co-delivery in one particle held the ratio fixed to the point of release, which separate administration cannot do.</w:t>
      </w:r>
    </w:p>
    <w:p>
      <w:pPr>
        <w:spacing w:before="0" w:after="84" w:line="262" w:lineRule="auto"/>
        <w:jc w:val="both"/>
      </w:pP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In triple-negative breast cancer models the system suppressed primary tumour growth and lung metastasis. The mechanism ran through three independent routes acting together: </w:t>
      </w:r>
      <w:r>
        <w:rPr>
          <w:rFonts w:ascii="Calibri" w:hAnsi="Calibri" w:eastAsia="Calibri"/>
          <w:b/>
          <w:i w:val="0"/>
          <w:color w:val="1A1A1A"/>
          <w:sz w:val="17"/>
          <w:u w:val="none"/>
        </w:rPr>
        <w:t>apoptosis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, blockade of </w:t>
      </w:r>
      <w:r>
        <w:rPr>
          <w:rFonts w:ascii="Calibri" w:hAnsi="Calibri" w:eastAsia="Calibri"/>
          <w:b/>
          <w:i w:val="0"/>
          <w:color w:val="1A1A1A"/>
          <w:sz w:val="17"/>
          <w:u w:val="none"/>
        </w:rPr>
        <w:t>epithelial–mesenchymal transition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, and blockade of </w:t>
      </w:r>
      <w:r>
        <w:rPr>
          <w:rFonts w:ascii="Calibri" w:hAnsi="Calibri" w:eastAsia="Calibri"/>
          <w:b/>
          <w:i w:val="0"/>
          <w:color w:val="1A1A1A"/>
          <w:sz w:val="17"/>
          <w:u w:val="none"/>
        </w:rPr>
        <w:t>vasculogenic mimicry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, in which tumour cells build their own perfusion channels and so evade anti-angiogenic therapy. Published in </w:t>
      </w:r>
      <w:r>
        <w:rPr>
          <w:rFonts w:ascii="Calibri" w:hAnsi="Calibri" w:eastAsia="Calibri"/>
          <w:b w:val="0"/>
          <w:i/>
          <w:color w:val="1A1A1A"/>
          <w:sz w:val="17"/>
          <w:u w:val="none"/>
        </w:rPr>
        <w:t>Acta Pharmacologica Sinica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 46(12):3314-3326, </w:t>
      </w:r>
      <w:r>
        <w:rPr>
          <w:rFonts w:ascii="Calibri" w:hAnsi="Calibri" w:eastAsia="Calibri"/>
          <w:b/>
          <w:i w:val="0"/>
          <w:color w:val="1A1A1A"/>
          <w:sz w:val="17"/>
          <w:u w:val="none"/>
        </w:rPr>
        <w:t>joint first author, equal contribution formally recorded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>.</w:t>
      </w:r>
    </w:p>
    <w:p>
      <w:pPr>
        <w:spacing w:before="0" w:after="84" w:line="262" w:lineRule="auto"/>
        <w:jc w:val="both"/>
      </w:pP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>Separately, as a contributing co-author within my institute's macrophage programme, I worked on lactoferrin-modified carriers targeting LRP-1 on activated macrophages (</w:t>
      </w:r>
      <w:r>
        <w:rPr>
          <w:rFonts w:ascii="Calibri" w:hAnsi="Calibri" w:eastAsia="Calibri"/>
          <w:b w:val="0"/>
          <w:i/>
          <w:color w:val="1A1A1A"/>
          <w:sz w:val="17"/>
          <w:u w:val="none"/>
        </w:rPr>
        <w:t>Acta Pharmaceutica Sinica B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>) and on a review of macrophage-based nanotherapeutics (</w:t>
      </w:r>
      <w:r>
        <w:rPr>
          <w:rFonts w:ascii="Calibri" w:hAnsi="Calibri" w:eastAsia="Calibri"/>
          <w:b w:val="0"/>
          <w:i/>
          <w:color w:val="1A1A1A"/>
          <w:sz w:val="17"/>
          <w:u w:val="none"/>
        </w:rPr>
        <w:t>Journal of Controlled Release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). I also wrote a first-author review in </w:t>
      </w:r>
      <w:r>
        <w:rPr>
          <w:rFonts w:ascii="Calibri" w:hAnsi="Calibri" w:eastAsia="Calibri"/>
          <w:b/>
          <w:i w:val="0"/>
          <w:color w:val="1A1A1A"/>
          <w:sz w:val="17"/>
          <w:u w:val="none"/>
        </w:rPr>
        <w:t>Drug Delivery and Translational Research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 on how nanocarriers can be used to modulate the tumour immune microenvironment.</w:t>
      </w:r>
    </w:p>
    <w:p>
      <w:pPr>
        <w:keepNext/>
        <w:spacing w:before="150" w:after="52" w:line="254" w:lineRule="auto"/>
        <w:pBdr>
          <w:bottom w:val="single" w:sz="4" w:space="2" w:color="C3CFD5"/>
        </w:pBdr>
      </w:pPr>
      <w:r>
        <w:rPr>
          <w:rFonts w:ascii="Georgia" w:hAnsi="Georgia" w:eastAsia="Georgia"/>
          <w:b/>
          <w:i w:val="0"/>
          <w:color w:val="12455C"/>
          <w:sz w:val="19"/>
          <w:u w:val="none"/>
          <w:spacing w:val="12"/>
        </w:rPr>
        <w:t>WHAT I WOULD PROPOSE HERE</w:t>
      </w:r>
    </w:p>
    <w:p>
      <w:pPr>
        <w:spacing w:before="0" w:after="84" w:line="262" w:lineRule="auto"/>
        <w:jc w:val="both"/>
      </w:pPr>
      <w:r>
        <w:rPr>
          <w:rFonts w:ascii="Calibri" w:hAnsi="Calibri" w:eastAsia="Calibri"/>
          <w:b/>
          <w:i w:val="0"/>
          <w:color w:val="1A1A1A"/>
          <w:sz w:val="17"/>
          <w:u w:val="none"/>
        </w:rPr>
        <w:t>1. Myeloid re-education as a delivery problem rather than a drug problem.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 Repolarising tumour-associated macrophages usually fails not because the agents are weak but because they reach the wrong cells. I would work on carriers whose biodistribution is validated at the level of the myeloid compartment rather than the tumour as a whole — which requires the flow cytometry and immunofluorescence I use routinely.</w:t>
      </w:r>
    </w:p>
    <w:p>
      <w:pPr>
        <w:spacing w:before="0" w:after="84" w:line="262" w:lineRule="auto"/>
        <w:jc w:val="both"/>
      </w:pPr>
      <w:r>
        <w:rPr>
          <w:rFonts w:ascii="Calibri" w:hAnsi="Calibri" w:eastAsia="Calibri"/>
          <w:b/>
          <w:i w:val="0"/>
          <w:color w:val="1A1A1A"/>
          <w:sz w:val="17"/>
          <w:u w:val="none"/>
        </w:rPr>
        <w:t>2. Vasculogenic mimicry alongside macrophage targeting.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 These are treated as separate literatures. My doctoral result suggests they need not be: a carrier that reaches both the tumour cell and the myeloid compartment could close a structural escape route and an immunological one together.</w:t>
      </w:r>
    </w:p>
    <w:p>
      <w:pPr>
        <w:spacing w:before="0" w:after="84" w:line="262" w:lineRule="auto"/>
        <w:jc w:val="both"/>
      </w:pPr>
      <w:r>
        <w:rPr>
          <w:rFonts w:ascii="Calibri" w:hAnsi="Calibri" w:eastAsia="Calibri"/>
          <w:b/>
          <w:i w:val="0"/>
          <w:color w:val="1A1A1A"/>
          <w:sz w:val="17"/>
          <w:u w:val="none"/>
        </w:rPr>
        <w:t>3. The metabolic axis.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 Shikonin acts on glycolysis, and the tumour microenvironment's metabolic state governs macrophage phenotype. Whether a glycolysis-directed payload delivered to macrophages shifts polarisation is an open, testable question that sits inside your existing programme.</w:t>
      </w:r>
    </w:p>
    <w:p>
      <w:pPr>
        <w:keepNext/>
        <w:spacing w:before="150" w:after="52" w:line="254" w:lineRule="auto"/>
        <w:pBdr>
          <w:bottom w:val="single" w:sz="4" w:space="2" w:color="C3CFD5"/>
        </w:pBdr>
      </w:pPr>
      <w:r>
        <w:rPr>
          <w:rFonts w:ascii="Georgia" w:hAnsi="Georgia" w:eastAsia="Georgia"/>
          <w:b/>
          <w:i w:val="0"/>
          <w:color w:val="12455C"/>
          <w:sz w:val="19"/>
          <w:u w:val="none"/>
          <w:spacing w:val="12"/>
        </w:rPr>
        <w:t>WHAT I BRING, AND WHAT I DO NOT</w:t>
      </w:r>
    </w:p>
    <w:p>
      <w:pPr>
        <w:spacing w:before="0" w:after="84" w:line="262" w:lineRule="auto"/>
        <w:jc w:val="both"/>
      </w:pPr>
      <w:r>
        <w:rPr>
          <w:rFonts w:ascii="Calibri" w:hAnsi="Calibri" w:eastAsia="Calibri"/>
          <w:b/>
          <w:i w:val="0"/>
          <w:color w:val="1A1A1A"/>
          <w:sz w:val="17"/>
          <w:u w:val="none"/>
        </w:rPr>
        <w:t>Bring: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 carrier design and optimisation; full physicochemical characterisation by DLS, zeta potential, TEM, SEM, HPLC and UV–Vis; the molecular and cellular biology that establishes a mechanism, including macrophage culture and polarisation; and the complete in vivo programme run independently, from ethics approval through biodistribution to histopathology.</w:t>
      </w:r>
    </w:p>
    <w:p>
      <w:pPr>
        <w:spacing w:before="0" w:after="84" w:line="262" w:lineRule="auto"/>
        <w:jc w:val="both"/>
      </w:pPr>
      <w:r>
        <w:rPr>
          <w:rFonts w:ascii="Calibri" w:hAnsi="Calibri" w:eastAsia="Calibri"/>
          <w:b/>
          <w:i w:val="0"/>
          <w:color w:val="1A1A1A"/>
          <w:sz w:val="17"/>
          <w:u w:val="none"/>
        </w:rPr>
        <w:t>Do not: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 I have not formulated RNA, proteins, peptides or antigens. Your laboratory's biologics platforms would be new to me, and I would be learning them.</w:t>
      </w:r>
    </w:p>
    <w:p>
      <w:pPr>
        <w:keepNext/>
        <w:spacing w:before="150" w:after="52" w:line="254" w:lineRule="auto"/>
        <w:pBdr>
          <w:bottom w:val="single" w:sz="4" w:space="2" w:color="C3CFD5"/>
        </w:pBdr>
      </w:pPr>
      <w:r>
        <w:rPr>
          <w:rFonts w:ascii="Georgia" w:hAnsi="Georgia" w:eastAsia="Georgia"/>
          <w:b/>
          <w:i w:val="0"/>
          <w:color w:val="12455C"/>
          <w:sz w:val="19"/>
          <w:u w:val="none"/>
          <w:spacing w:val="12"/>
        </w:rPr>
        <w:t>FUNDING AND TIMING</w:t>
      </w:r>
    </w:p>
    <w:p>
      <w:pPr>
        <w:spacing w:before="0" w:after="84" w:line="262" w:lineRule="auto"/>
        <w:jc w:val="both"/>
      </w:pP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I am </w:t>
      </w:r>
      <w:r>
        <w:rPr>
          <w:rFonts w:ascii="Calibri" w:hAnsi="Calibri" w:eastAsia="Calibri"/>
          <w:b/>
          <w:i w:val="0"/>
          <w:color w:val="1A1A1A"/>
          <w:sz w:val="17"/>
          <w:u w:val="none"/>
        </w:rPr>
        <w:t>not yet eligible for the “la Caixa” Junior Leader Incoming call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, which requires a PhD obtained two to seven years before the 23 September 2026 deadline; mine was awarded in 2025. I would be eligible for the following round. I am eligible now for an </w:t>
      </w:r>
      <w:r>
        <w:rPr>
          <w:rFonts w:ascii="Calibri" w:hAnsi="Calibri" w:eastAsia="Calibri"/>
          <w:b/>
          <w:i w:val="0"/>
          <w:color w:val="1A1A1A"/>
          <w:sz w:val="17"/>
          <w:u w:val="none"/>
        </w:rPr>
        <w:t>MSCA Postdoctoral Fellowship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 (2026 call closes 9 September) and for </w:t>
      </w:r>
      <w:r>
        <w:rPr>
          <w:rFonts w:ascii="Calibri" w:hAnsi="Calibri" w:eastAsia="Calibri"/>
          <w:b/>
          <w:i w:val="0"/>
          <w:color w:val="1A1A1A"/>
          <w:sz w:val="17"/>
          <w:u w:val="none"/>
        </w:rPr>
        <w:t>Juan de la Cierva – Formación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>, and I would write either proposal myself given a host.</w:t>
      </w:r>
    </w:p>
    <w:sectPr w:rsidR="00FC693F" w:rsidRPr="0006063C" w:rsidSect="00034616">
      <w:pgSz w:w="12240" w:h="15840"/>
      <w:pgMar w:top="652" w:right="907" w:bottom="56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4" w:lineRule="auto"/>
    </w:pPr>
    <w:rPr>
      <w:rFonts w:ascii="Calibri" w:hAnsi="Calibri" w:eastAsia="Calibri"/>
      <w:color w:val="1A1A1A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ipika.pristel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