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54" w:lineRule="auto"/>
      </w:pPr>
      <w:r>
        <w:rPr>
          <w:rFonts w:ascii="Georgia" w:hAnsi="Georgia" w:eastAsia="Georgia"/>
          <w:b/>
          <w:i w:val="0"/>
          <w:color w:val="12455C"/>
          <w:sz w:val="30"/>
          <w:u w:val="none"/>
          <w:spacing w:val="4"/>
        </w:rPr>
        <w:t>Research Statement</w:t>
      </w:r>
    </w:p>
    <w:p>
      <w:pPr>
        <w:spacing w:before="0" w:after="0" w:line="254" w:lineRule="auto"/>
      </w:pPr>
      <w:r>
        <w:rPr>
          <w:rFonts w:ascii="Calibri" w:hAnsi="Calibri" w:eastAsia="Calibri"/>
          <w:b/>
          <w:i w:val="0"/>
          <w:color w:val="1A1A1A"/>
          <w:sz w:val="18"/>
          <w:u w:val="none"/>
        </w:rPr>
        <w:t>Dr. Dipika Ramdas Kalambhe, Ph.D.</w:t>
      </w:r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 xml:space="preserve">   ·   Assoc Prof Greg Walker — formulation and delivery of bioactives</w:t>
      </w:r>
    </w:p>
    <w:p>
      <w:pPr>
        <w:spacing w:before="0" w:after="0" w:line="254" w:lineRule="auto"/>
        <w:pBdr>
          <w:bottom w:val="single" w:sz="6" w:space="6" w:color="C3CFD5"/>
        </w:pBdr>
      </w:pPr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>School of Pharmacy · University of Otago · Dunedin</w:t>
      </w:r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 xml:space="preserve">   ·   </w:t>
      </w:r>
      <w:hyperlink r:id="rId9">
        <w:r>
          <w:rPr>
            <w:rFonts w:ascii="Calibri" w:hAnsi="Calibri" w:eastAsia="Calibri"/>
            <w:color w:val="12455C"/>
            <w:sz w:val="16"/>
          </w:rPr>
          <w:t xml:space="preserve">dipika.pristellar.com</w:t>
        </w:r>
      </w:hyperlink>
    </w:p>
    <w:p>
      <w:pPr>
        <w:keepNext/>
        <w:spacing w:before="0" w:after="52" w:line="254" w:lineRule="auto"/>
        <w:pBdr>
          <w:bottom w:val="single" w:sz="4" w:space="2" w:color="C3CFD5"/>
        </w:pBdr>
      </w:pPr>
      <w:r>
        <w:rPr>
          <w:rFonts w:ascii="Georgia" w:hAnsi="Georgia" w:eastAsia="Georgia"/>
          <w:b/>
          <w:i w:val="0"/>
          <w:color w:val="12455C"/>
          <w:sz w:val="19"/>
          <w:u w:val="none"/>
          <w:spacing w:val="12"/>
        </w:rPr>
        <w:t>RESEARCH FOCUS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>My work is about what a delivery system does to a bioactive after it leaves the formulation bench — how composition and structure determine where the compound goes, how long it survives, and whether enough of it arrives to matter. I approach that as a physico-chemical question first and a biological one second, because the biology cannot be interpreted until the formulation is under control.</w:t>
      </w:r>
    </w:p>
    <w:p>
      <w:pPr>
        <w:keepNext/>
        <w:spacing w:before="150" w:after="52" w:line="254" w:lineRule="auto"/>
        <w:pBdr>
          <w:bottom w:val="single" w:sz="4" w:space="2" w:color="C3CFD5"/>
        </w:pBdr>
      </w:pPr>
      <w:r>
        <w:rPr>
          <w:rFonts w:ascii="Georgia" w:hAnsi="Georgia" w:eastAsia="Georgia"/>
          <w:b/>
          <w:i w:val="0"/>
          <w:color w:val="12455C"/>
          <w:sz w:val="19"/>
          <w:u w:val="none"/>
          <w:spacing w:val="12"/>
        </w:rPr>
        <w:t>DOCTORAL AND MASTER'S PROGRAMMES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/>
          <w:i w:val="0"/>
          <w:color w:val="1A1A1A"/>
          <w:sz w:val="17"/>
          <w:u w:val="none"/>
        </w:rPr>
        <w:t>A polymeric carrier for two incompatible actives.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At the Shanghai Institute of Materia Medica I designed a mesoporous polydopamine-based Pickering emulsion carrying shikonin and the BET bromodomain inhibitor JQ1 in a single particle. The two differ in solubility and in the release profile each requires, so the formulation had to hold a fixed ratio to the point of release. Optimisation covered composition, drug ratio, loading, encapsulation efficiency, size distribution, surface charge, stability across storage conditions and release in physiologically relevant media.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In triple-negative breast cancer models the system suppressed primary tumour growth and lung metastasis, through </w:t>
      </w:r>
      <w:r>
        <w:rPr>
          <w:rFonts w:ascii="Calibri" w:hAnsi="Calibri" w:eastAsia="Calibri"/>
          <w:b/>
          <w:i w:val="0"/>
          <w:color w:val="1A1A1A"/>
          <w:sz w:val="17"/>
          <w:u w:val="none"/>
        </w:rPr>
        <w:t>apoptosis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combined with blockade of </w:t>
      </w:r>
      <w:r>
        <w:rPr>
          <w:rFonts w:ascii="Calibri" w:hAnsi="Calibri" w:eastAsia="Calibri"/>
          <w:b/>
          <w:i w:val="0"/>
          <w:color w:val="1A1A1A"/>
          <w:sz w:val="17"/>
          <w:u w:val="none"/>
        </w:rPr>
        <w:t>epithelial–mesenchymal transition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and </w:t>
      </w:r>
      <w:r>
        <w:rPr>
          <w:rFonts w:ascii="Calibri" w:hAnsi="Calibri" w:eastAsia="Calibri"/>
          <w:b/>
          <w:i w:val="0"/>
          <w:color w:val="1A1A1A"/>
          <w:sz w:val="17"/>
          <w:u w:val="none"/>
        </w:rPr>
        <w:t>vasculogenic mimicry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. Published in </w:t>
      </w:r>
      <w:r>
        <w:rPr>
          <w:rFonts w:ascii="Calibri" w:hAnsi="Calibri" w:eastAsia="Calibri"/>
          <w:b w:val="0"/>
          <w:i/>
          <w:color w:val="1A1A1A"/>
          <w:sz w:val="17"/>
          <w:u w:val="none"/>
        </w:rPr>
        <w:t>Acta Pharmacologica Sinica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46(12):3314-3326, </w:t>
      </w:r>
      <w:r>
        <w:rPr>
          <w:rFonts w:ascii="Calibri" w:hAnsi="Calibri" w:eastAsia="Calibri"/>
          <w:b/>
          <w:i w:val="0"/>
          <w:color w:val="1A1A1A"/>
          <w:sz w:val="17"/>
          <w:u w:val="none"/>
        </w:rPr>
        <w:t>joint first author, equal contribution formally recorded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>. I later formulated it into a thermosensitive hydrogel for local post-surgical delivery.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/>
          <w:i w:val="0"/>
          <w:color w:val="1A1A1A"/>
          <w:sz w:val="17"/>
          <w:u w:val="none"/>
        </w:rPr>
        <w:t>A transdermal product taken to filing.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My Master's work produced a transdermal patch carrying a </w:t>
      </w:r>
      <w:r>
        <w:rPr>
          <w:rFonts w:ascii="Calibri" w:hAnsi="Calibri" w:eastAsia="Calibri"/>
          <w:b w:val="0"/>
          <w:i/>
          <w:color w:val="1A1A1A"/>
          <w:sz w:val="17"/>
          <w:u w:val="none"/>
        </w:rPr>
        <w:t>Curcuma longa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flavonoid fraction for acne, evaluated for physicochemical properties, sustained release, </w:t>
      </w:r>
      <w:r>
        <w:rPr>
          <w:rFonts w:ascii="Calibri" w:hAnsi="Calibri" w:eastAsia="Calibri"/>
          <w:b/>
          <w:i w:val="0"/>
          <w:color w:val="1A1A1A"/>
          <w:sz w:val="17"/>
          <w:u w:val="none"/>
        </w:rPr>
        <w:t>antimicrobial activity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, skin permeation and in vivo safety. It produced a first-author paper in the </w:t>
      </w:r>
      <w:r>
        <w:rPr>
          <w:rFonts w:ascii="Calibri" w:hAnsi="Calibri" w:eastAsia="Calibri"/>
          <w:b w:val="0"/>
          <w:i/>
          <w:color w:val="1A1A1A"/>
          <w:sz w:val="17"/>
          <w:u w:val="none"/>
        </w:rPr>
        <w:t>Journal of Pharmaceutical Innovation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and a filed Indian patent (No. 202421042057).</w:t>
      </w:r>
    </w:p>
    <w:p>
      <w:pPr>
        <w:keepNext/>
        <w:spacing w:before="150" w:after="52" w:line="254" w:lineRule="auto"/>
        <w:pBdr>
          <w:bottom w:val="single" w:sz="4" w:space="2" w:color="C3CFD5"/>
        </w:pBdr>
      </w:pPr>
      <w:r>
        <w:rPr>
          <w:rFonts w:ascii="Georgia" w:hAnsi="Georgia" w:eastAsia="Georgia"/>
          <w:b/>
          <w:i w:val="0"/>
          <w:color w:val="12455C"/>
          <w:sz w:val="19"/>
          <w:u w:val="none"/>
          <w:spacing w:val="12"/>
        </w:rPr>
        <w:t>WHAT I WOULD PROPOSE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/>
          <w:i w:val="0"/>
          <w:color w:val="1A1A1A"/>
          <w:sz w:val="17"/>
          <w:u w:val="none"/>
        </w:rPr>
        <w:t>1. Formulation as the variable that decides antimicrobial performance.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For a topical or locally delivered antimicrobial, the minimum inhibitory concentration in a plate says little about what happens at the site. Building the physico-chemical characterisation that predicts local concentration over time — rather than assuming it — is directly useful to an antimicrobial programme and is work I have done before on a smaller scale.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/>
          <w:i w:val="0"/>
          <w:color w:val="1A1A1A"/>
          <w:sz w:val="17"/>
          <w:u w:val="none"/>
        </w:rPr>
        <w:t>2. Sustained local delivery of bioactives.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My hydrogel work targets the case where systemic exposure is undesirable and the therapeutic window is narrow. The same logic applies well beyond oncology, including to animal-health settings where dosing frequency is a practical constraint rather than a clinical one.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/>
          <w:i w:val="0"/>
          <w:color w:val="1A1A1A"/>
          <w:sz w:val="17"/>
          <w:u w:val="none"/>
        </w:rPr>
        <w:t>3. Manufacturability as a design input.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I have published reviews on additive manufacturing in nanoparticulate delivery and on 3D printing for oral dosage materials. A formulation that cannot be made reproducibly is not a product, and that constraint belongs at the start of a project rather than at the end.</w:t>
      </w:r>
    </w:p>
    <w:p>
      <w:pPr>
        <w:keepNext/>
        <w:spacing w:before="150" w:after="52" w:line="254" w:lineRule="auto"/>
        <w:pBdr>
          <w:bottom w:val="single" w:sz="4" w:space="2" w:color="C3CFD5"/>
        </w:pBdr>
      </w:pPr>
      <w:r>
        <w:rPr>
          <w:rFonts w:ascii="Georgia" w:hAnsi="Georgia" w:eastAsia="Georgia"/>
          <w:b/>
          <w:i w:val="0"/>
          <w:color w:val="12455C"/>
          <w:sz w:val="19"/>
          <w:u w:val="none"/>
          <w:spacing w:val="12"/>
        </w:rPr>
        <w:t>CAPABILITY AND LIMITS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/>
          <w:i w:val="0"/>
          <w:color w:val="1A1A1A"/>
          <w:sz w:val="17"/>
          <w:u w:val="none"/>
        </w:rPr>
        <w:t>Capability: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formulation design and optimisation across polymeric carriers, Pickering emulsions, thermosensitive hydrogels and transdermal systems; characterisation by DLS, zeta potential, TEM, SEM, HPLC, UV–Vis and fluorescence spectroscopy; stability and release profiling; cell-based assays and mechanistic molecular biology; complete murine in vivo studies run independently; and the assembly of an evidence package to the standard a patent filing requires.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/>
          <w:i w:val="0"/>
          <w:color w:val="1A1A1A"/>
          <w:sz w:val="17"/>
          <w:u w:val="none"/>
        </w:rPr>
        <w:t>Limits:</w:t>
      </w: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 xml:space="preserve"> no veterinary or animal-health formulation experience, no biopharmaceutical engineering, and no GMP manufacture or scale-up. These are application areas and process skills rather than new science, but they are absent from my record and I would rather state that.</w:t>
      </w:r>
    </w:p>
    <w:p>
      <w:pPr>
        <w:keepNext/>
        <w:spacing w:before="150" w:after="52" w:line="254" w:lineRule="auto"/>
        <w:pBdr>
          <w:bottom w:val="single" w:sz="4" w:space="2" w:color="C3CFD5"/>
        </w:pBdr>
      </w:pPr>
      <w:r>
        <w:rPr>
          <w:rFonts w:ascii="Georgia" w:hAnsi="Georgia" w:eastAsia="Georgia"/>
          <w:b/>
          <w:i w:val="0"/>
          <w:color w:val="12455C"/>
          <w:sz w:val="19"/>
          <w:u w:val="none"/>
          <w:spacing w:val="12"/>
        </w:rPr>
        <w:t>RECORD</w:t>
      </w:r>
    </w:p>
    <w:p>
      <w:pPr>
        <w:spacing w:before="0" w:after="84" w:line="262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7"/>
          <w:u w:val="none"/>
        </w:rPr>
        <w:t>Seven peer-reviewed publications, 324 citations, h-index 3 (Google Scholar, July 2026); three as first or joint first author. One filed Indian patent. Doctorate funded throughout by the ANSO Young Talent and Belt and Road Government Fellowships.</w:t>
      </w:r>
    </w:p>
    <w:sectPr w:rsidR="00FC693F" w:rsidRPr="0006063C" w:rsidSect="00034616">
      <w:pgSz w:w="12240" w:h="15840"/>
      <w:pgMar w:top="652" w:right="907" w:bottom="56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4" w:lineRule="auto"/>
    </w:pPr>
    <w:rPr>
      <w:rFonts w:ascii="Calibri" w:hAnsi="Calibri" w:eastAsia="Calibri"/>
      <w:color w:val="1A1A1A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ipika.pristel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